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C4" w:rsidRDefault="00411DC4" w:rsidP="00411DC4">
      <w:pPr>
        <w:tabs>
          <w:tab w:val="left" w:pos="720"/>
          <w:tab w:val="right" w:pos="14004"/>
        </w:tabs>
        <w:autoSpaceDE w:val="0"/>
        <w:autoSpaceDN w:val="0"/>
        <w:adjustRightInd w:val="0"/>
        <w:spacing w:after="0" w:line="240" w:lineRule="auto"/>
        <w:jc w:val="right"/>
        <w:rPr>
          <w:rFonts w:ascii="Times New Roman" w:hAnsi="Times New Roman"/>
          <w:b/>
          <w:bCs/>
          <w:lang w:eastAsia="pt-BR"/>
        </w:rPr>
      </w:pPr>
      <w:r>
        <w:rPr>
          <w:rFonts w:ascii="Times New Roman" w:hAnsi="Times New Roman"/>
          <w:b/>
          <w:bCs/>
          <w:lang w:eastAsia="pt-BR"/>
        </w:rPr>
        <w:t>EDITAL DE PROCES</w:t>
      </w:r>
      <w:r>
        <w:rPr>
          <w:rFonts w:ascii="Times New Roman" w:hAnsi="Times New Roman"/>
          <w:b/>
          <w:bCs/>
          <w:lang w:eastAsia="pt-BR"/>
        </w:rPr>
        <w:t>SO SELETIVO SIMPLIFICADO N.º 012</w:t>
      </w:r>
      <w:r>
        <w:rPr>
          <w:rFonts w:ascii="Times New Roman" w:hAnsi="Times New Roman"/>
          <w:b/>
          <w:bCs/>
          <w:lang w:eastAsia="pt-BR"/>
        </w:rPr>
        <w:t>/2015.</w:t>
      </w:r>
    </w:p>
    <w:p w:rsidR="00411DC4" w:rsidRDefault="00411DC4" w:rsidP="00411DC4">
      <w:pPr>
        <w:autoSpaceDE w:val="0"/>
        <w:autoSpaceDN w:val="0"/>
        <w:adjustRightInd w:val="0"/>
        <w:spacing w:after="0" w:line="240" w:lineRule="auto"/>
        <w:jc w:val="right"/>
        <w:rPr>
          <w:rFonts w:ascii="Times New Roman" w:hAnsi="Times New Roman"/>
          <w:b/>
          <w:bCs/>
          <w:lang w:eastAsia="pt-BR"/>
        </w:rPr>
      </w:pPr>
    </w:p>
    <w:p w:rsidR="00411DC4" w:rsidRDefault="00411DC4" w:rsidP="00411DC4">
      <w:pPr>
        <w:autoSpaceDE w:val="0"/>
        <w:autoSpaceDN w:val="0"/>
        <w:adjustRightInd w:val="0"/>
        <w:spacing w:after="0" w:line="240" w:lineRule="auto"/>
        <w:ind w:left="8222"/>
        <w:jc w:val="both"/>
        <w:rPr>
          <w:rFonts w:ascii="Times New Roman" w:hAnsi="Times New Roman"/>
          <w:lang w:eastAsia="pt-BR"/>
        </w:rPr>
      </w:pPr>
    </w:p>
    <w:p w:rsidR="00411DC4" w:rsidRDefault="00411DC4" w:rsidP="00411DC4">
      <w:pPr>
        <w:autoSpaceDE w:val="0"/>
        <w:autoSpaceDN w:val="0"/>
        <w:adjustRightInd w:val="0"/>
        <w:spacing w:after="0" w:line="240" w:lineRule="auto"/>
        <w:ind w:left="8222"/>
        <w:jc w:val="both"/>
        <w:rPr>
          <w:rFonts w:ascii="Times New Roman" w:hAnsi="Times New Roman"/>
          <w:lang w:eastAsia="pt-BR"/>
        </w:rPr>
      </w:pPr>
    </w:p>
    <w:p w:rsidR="00411DC4" w:rsidRDefault="00411DC4" w:rsidP="00411DC4">
      <w:pPr>
        <w:autoSpaceDE w:val="0"/>
        <w:autoSpaceDN w:val="0"/>
        <w:adjustRightInd w:val="0"/>
        <w:spacing w:after="0" w:line="240" w:lineRule="auto"/>
        <w:ind w:left="8222"/>
        <w:jc w:val="both"/>
        <w:rPr>
          <w:rFonts w:ascii="Times New Roman" w:hAnsi="Times New Roman"/>
          <w:lang w:eastAsia="pt-BR"/>
        </w:rPr>
      </w:pPr>
      <w:r>
        <w:rPr>
          <w:rFonts w:ascii="Times New Roman" w:hAnsi="Times New Roman"/>
          <w:lang w:eastAsia="pt-BR"/>
        </w:rPr>
        <w:t xml:space="preserve">Divulga o resultado preliminar da análise dos currículos dos candidatos inscritos ao Processo Seletivo Simplificado nº </w:t>
      </w:r>
      <w:r>
        <w:rPr>
          <w:rFonts w:ascii="Times New Roman" w:hAnsi="Times New Roman"/>
          <w:lang w:eastAsia="pt-BR"/>
        </w:rPr>
        <w:t>012</w:t>
      </w:r>
      <w:r>
        <w:rPr>
          <w:rFonts w:ascii="Times New Roman" w:hAnsi="Times New Roman"/>
          <w:lang w:eastAsia="pt-BR"/>
        </w:rPr>
        <w:t>/2015 e dá outras providências.</w:t>
      </w:r>
    </w:p>
    <w:p w:rsidR="00411DC4" w:rsidRDefault="00411DC4" w:rsidP="00411DC4">
      <w:pPr>
        <w:autoSpaceDE w:val="0"/>
        <w:autoSpaceDN w:val="0"/>
        <w:adjustRightInd w:val="0"/>
        <w:spacing w:after="0" w:line="240" w:lineRule="auto"/>
        <w:ind w:left="8222"/>
        <w:jc w:val="both"/>
        <w:rPr>
          <w:rFonts w:ascii="Times New Roman" w:hAnsi="Times New Roman"/>
          <w:lang w:eastAsia="pt-BR"/>
        </w:rPr>
      </w:pPr>
    </w:p>
    <w:p w:rsidR="00411DC4" w:rsidRDefault="00411DC4" w:rsidP="00411DC4">
      <w:pPr>
        <w:autoSpaceDE w:val="0"/>
        <w:autoSpaceDN w:val="0"/>
        <w:adjustRightInd w:val="0"/>
        <w:spacing w:after="0" w:line="240" w:lineRule="auto"/>
        <w:jc w:val="right"/>
        <w:rPr>
          <w:rFonts w:ascii="Times New Roman" w:hAnsi="Times New Roman"/>
          <w:lang w:eastAsia="pt-BR"/>
        </w:rPr>
      </w:pPr>
    </w:p>
    <w:p w:rsidR="00411DC4" w:rsidRDefault="00411DC4" w:rsidP="00411DC4">
      <w:pPr>
        <w:autoSpaceDE w:val="0"/>
        <w:autoSpaceDN w:val="0"/>
        <w:adjustRightInd w:val="0"/>
        <w:spacing w:after="0" w:line="240" w:lineRule="auto"/>
        <w:jc w:val="right"/>
        <w:rPr>
          <w:rFonts w:ascii="Times New Roman" w:hAnsi="Times New Roman"/>
          <w:lang w:eastAsia="pt-BR"/>
        </w:rPr>
      </w:pPr>
    </w:p>
    <w:p w:rsidR="00411DC4" w:rsidRDefault="00411DC4" w:rsidP="00411DC4">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O Secretário Municipal de Saúde, no uso de suas atribuições, </w:t>
      </w:r>
      <w:r>
        <w:rPr>
          <w:rFonts w:ascii="Times New Roman" w:hAnsi="Times New Roman"/>
          <w:b/>
          <w:bCs/>
          <w:lang w:eastAsia="pt-BR"/>
        </w:rPr>
        <w:t xml:space="preserve">TORNA PÚBLICO O RESULTADO PRELIMINAR DA ANÁLISE DOS CURRÍCULOS </w:t>
      </w:r>
      <w:r>
        <w:rPr>
          <w:rFonts w:ascii="Times New Roman" w:hAnsi="Times New Roman"/>
          <w:lang w:eastAsia="pt-BR"/>
        </w:rPr>
        <w:t>dos candidatos a</w:t>
      </w:r>
      <w:r>
        <w:rPr>
          <w:rFonts w:ascii="Times New Roman" w:hAnsi="Times New Roman"/>
          <w:b/>
          <w:lang w:eastAsia="pt-BR"/>
        </w:rPr>
        <w:t xml:space="preserve"> </w:t>
      </w:r>
      <w:r w:rsidR="002001CD" w:rsidRPr="002001CD">
        <w:rPr>
          <w:rFonts w:ascii="Times New Roman" w:hAnsi="Times New Roman"/>
          <w:b/>
        </w:rPr>
        <w:t>TNS I MÉDICO CLÍNICA MÉDICA</w:t>
      </w:r>
      <w:r>
        <w:rPr>
          <w:rFonts w:ascii="Times New Roman" w:hAnsi="Times New Roman"/>
          <w:b/>
          <w:lang w:eastAsia="pt-BR"/>
        </w:rPr>
        <w:t xml:space="preserve">, </w:t>
      </w:r>
      <w:r>
        <w:rPr>
          <w:rFonts w:ascii="Times New Roman" w:hAnsi="Times New Roman"/>
          <w:lang w:eastAsia="pt-BR"/>
        </w:rPr>
        <w:t xml:space="preserve">inscrito no Processo Seletivo Simplificado nº </w:t>
      </w:r>
      <w:r>
        <w:rPr>
          <w:rFonts w:ascii="Times New Roman" w:hAnsi="Times New Roman"/>
          <w:lang w:eastAsia="pt-BR"/>
        </w:rPr>
        <w:t>012</w:t>
      </w:r>
      <w:r>
        <w:rPr>
          <w:rFonts w:ascii="Times New Roman" w:hAnsi="Times New Roman"/>
          <w:lang w:eastAsia="pt-BR"/>
        </w:rPr>
        <w:t>/2015.</w:t>
      </w:r>
    </w:p>
    <w:p w:rsidR="00411DC4" w:rsidRDefault="00411DC4" w:rsidP="00411DC4">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I – A </w:t>
      </w:r>
      <w:r>
        <w:rPr>
          <w:rFonts w:ascii="Times New Roman" w:hAnsi="Times New Roman"/>
          <w:b/>
          <w:bCs/>
          <w:lang w:eastAsia="pt-BR"/>
        </w:rPr>
        <w:t xml:space="preserve">relação preliminar da análise dos currículos </w:t>
      </w:r>
      <w:r>
        <w:rPr>
          <w:rFonts w:ascii="Times New Roman" w:hAnsi="Times New Roman"/>
          <w:lang w:eastAsia="pt-BR"/>
        </w:rPr>
        <w:t xml:space="preserve">dos candidatos que tiveram a sua inscrição homologada (aceita) encontra-se no </w:t>
      </w:r>
      <w:r>
        <w:rPr>
          <w:rFonts w:ascii="Times New Roman" w:hAnsi="Times New Roman"/>
          <w:b/>
          <w:bCs/>
          <w:lang w:eastAsia="pt-BR"/>
        </w:rPr>
        <w:t xml:space="preserve">ANEXO I </w:t>
      </w:r>
      <w:r>
        <w:rPr>
          <w:rFonts w:ascii="Times New Roman" w:hAnsi="Times New Roman"/>
          <w:lang w:eastAsia="pt-BR"/>
        </w:rPr>
        <w:t>desta relação.</w:t>
      </w:r>
    </w:p>
    <w:p w:rsidR="00411DC4" w:rsidRDefault="002001CD" w:rsidP="00411DC4">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II – Fica estabelecido o dia 22/07</w:t>
      </w:r>
      <w:r w:rsidR="00411DC4">
        <w:rPr>
          <w:rFonts w:ascii="Times New Roman" w:hAnsi="Times New Roman"/>
          <w:lang w:eastAsia="pt-BR"/>
        </w:rPr>
        <w:t>/2015 para interposição de recurso relacionado à análise de currículo que deverá ser realizado através de formulário próprio (</w:t>
      </w:r>
      <w:r w:rsidR="00411DC4">
        <w:rPr>
          <w:rFonts w:ascii="Times New Roman" w:hAnsi="Times New Roman"/>
          <w:b/>
          <w:bCs/>
          <w:lang w:eastAsia="pt-BR"/>
        </w:rPr>
        <w:t xml:space="preserve">ANEXO VI </w:t>
      </w:r>
      <w:r w:rsidR="00411DC4">
        <w:rPr>
          <w:rFonts w:ascii="Times New Roman" w:hAnsi="Times New Roman"/>
          <w:lang w:eastAsia="pt-BR"/>
        </w:rPr>
        <w:t>do referido edital), observando o item 3 – Análise de Currículo do edital proposto, direcionado a Comissão Executora do Processo Seletivo Simplificado 2015, protocolado junto à Secretaria Municipal de Saúde, sito à Rua Dr. Eufrásio Rodrigues, 05 - Jardim Centro – Patos de Minas - MG.</w:t>
      </w:r>
    </w:p>
    <w:p w:rsidR="00411DC4" w:rsidRDefault="00411DC4" w:rsidP="00411DC4">
      <w:pPr>
        <w:autoSpaceDE w:val="0"/>
        <w:autoSpaceDN w:val="0"/>
        <w:adjustRightInd w:val="0"/>
        <w:spacing w:after="0" w:line="240" w:lineRule="auto"/>
        <w:jc w:val="both"/>
        <w:rPr>
          <w:rFonts w:ascii="Times New Roman" w:hAnsi="Times New Roman"/>
          <w:lang w:eastAsia="pt-BR"/>
        </w:rPr>
      </w:pPr>
    </w:p>
    <w:p w:rsidR="00411DC4" w:rsidRDefault="00411DC4" w:rsidP="00411DC4">
      <w:pPr>
        <w:autoSpaceDE w:val="0"/>
        <w:autoSpaceDN w:val="0"/>
        <w:adjustRightInd w:val="0"/>
        <w:spacing w:after="0" w:line="240" w:lineRule="auto"/>
        <w:jc w:val="both"/>
        <w:rPr>
          <w:rFonts w:ascii="Times New Roman" w:hAnsi="Times New Roman"/>
          <w:lang w:eastAsia="pt-BR"/>
        </w:rPr>
      </w:pPr>
    </w:p>
    <w:p w:rsidR="00411DC4" w:rsidRDefault="00411DC4" w:rsidP="00411DC4">
      <w:pPr>
        <w:autoSpaceDE w:val="0"/>
        <w:autoSpaceDN w:val="0"/>
        <w:adjustRightInd w:val="0"/>
        <w:spacing w:after="0" w:line="240" w:lineRule="auto"/>
        <w:jc w:val="both"/>
        <w:rPr>
          <w:rFonts w:ascii="Times New Roman" w:hAnsi="Times New Roman"/>
          <w:lang w:eastAsia="pt-BR"/>
        </w:rPr>
      </w:pPr>
    </w:p>
    <w:p w:rsidR="00411DC4" w:rsidRDefault="00411DC4" w:rsidP="00411DC4">
      <w:pPr>
        <w:autoSpaceDE w:val="0"/>
        <w:autoSpaceDN w:val="0"/>
        <w:adjustRightInd w:val="0"/>
        <w:spacing w:after="0" w:line="240" w:lineRule="auto"/>
        <w:jc w:val="both"/>
        <w:rPr>
          <w:rFonts w:ascii="Times New Roman" w:hAnsi="Times New Roman"/>
          <w:lang w:eastAsia="pt-BR"/>
        </w:rPr>
      </w:pPr>
    </w:p>
    <w:p w:rsidR="00411DC4" w:rsidRDefault="00411DC4" w:rsidP="00411DC4">
      <w:pPr>
        <w:spacing w:after="0" w:line="240" w:lineRule="auto"/>
        <w:ind w:left="142"/>
        <w:jc w:val="both"/>
        <w:rPr>
          <w:rFonts w:ascii="Times New Roman" w:hAnsi="Times New Roman"/>
          <w:lang w:eastAsia="pt-BR"/>
        </w:rPr>
      </w:pPr>
      <w:r>
        <w:rPr>
          <w:rFonts w:ascii="Times New Roman" w:hAnsi="Times New Roman"/>
          <w:bCs/>
          <w:lang w:eastAsia="pt-BR"/>
        </w:rPr>
        <w:t>Patos de Minas</w:t>
      </w:r>
      <w:r w:rsidR="002001CD">
        <w:rPr>
          <w:rFonts w:ascii="Times New Roman" w:hAnsi="Times New Roman"/>
          <w:lang w:eastAsia="pt-BR"/>
        </w:rPr>
        <w:t>, 21</w:t>
      </w:r>
      <w:r>
        <w:rPr>
          <w:rFonts w:ascii="Times New Roman" w:hAnsi="Times New Roman"/>
          <w:lang w:eastAsia="pt-BR"/>
        </w:rPr>
        <w:t xml:space="preserve"> de </w:t>
      </w:r>
      <w:r w:rsidR="002001CD">
        <w:rPr>
          <w:rFonts w:ascii="Times New Roman" w:hAnsi="Times New Roman"/>
          <w:lang w:eastAsia="pt-BR"/>
        </w:rPr>
        <w:t xml:space="preserve">julho </w:t>
      </w:r>
      <w:r>
        <w:rPr>
          <w:rFonts w:ascii="Times New Roman" w:hAnsi="Times New Roman"/>
          <w:lang w:eastAsia="pt-BR"/>
        </w:rPr>
        <w:t>de 2015.</w:t>
      </w:r>
    </w:p>
    <w:p w:rsidR="00411DC4" w:rsidRDefault="00411DC4" w:rsidP="00411DC4">
      <w:pPr>
        <w:spacing w:after="0" w:line="240" w:lineRule="auto"/>
        <w:jc w:val="both"/>
        <w:rPr>
          <w:rFonts w:ascii="Times New Roman" w:hAnsi="Times New Roman"/>
          <w:lang w:eastAsia="pt-BR"/>
        </w:rPr>
      </w:pPr>
    </w:p>
    <w:p w:rsidR="00411DC4" w:rsidRDefault="00411DC4" w:rsidP="00411DC4">
      <w:pPr>
        <w:spacing w:after="0" w:line="240" w:lineRule="auto"/>
        <w:jc w:val="both"/>
        <w:rPr>
          <w:rFonts w:ascii="Times New Roman" w:hAnsi="Times New Roman"/>
          <w:lang w:eastAsia="pt-BR"/>
        </w:rPr>
      </w:pPr>
    </w:p>
    <w:p w:rsidR="00411DC4" w:rsidRDefault="00411DC4" w:rsidP="00411DC4">
      <w:pPr>
        <w:spacing w:after="0" w:line="240" w:lineRule="auto"/>
        <w:jc w:val="both"/>
        <w:rPr>
          <w:rFonts w:ascii="Times New Roman" w:hAnsi="Times New Roman"/>
          <w:lang w:eastAsia="pt-BR"/>
        </w:rPr>
      </w:pPr>
    </w:p>
    <w:p w:rsidR="00411DC4" w:rsidRDefault="00411DC4" w:rsidP="00411DC4">
      <w:pPr>
        <w:spacing w:after="0" w:line="240" w:lineRule="auto"/>
        <w:jc w:val="both"/>
        <w:rPr>
          <w:rFonts w:ascii="Times New Roman" w:hAnsi="Times New Roman"/>
          <w:lang w:eastAsia="pt-BR"/>
        </w:rPr>
      </w:pPr>
    </w:p>
    <w:p w:rsidR="00411DC4" w:rsidRDefault="00411DC4" w:rsidP="00411DC4">
      <w:pPr>
        <w:spacing w:after="0" w:line="240" w:lineRule="auto"/>
        <w:jc w:val="both"/>
        <w:rPr>
          <w:rFonts w:ascii="Times New Roman" w:hAnsi="Times New Roman"/>
          <w:lang w:eastAsia="pt-BR"/>
        </w:rPr>
      </w:pPr>
    </w:p>
    <w:p w:rsidR="00411DC4" w:rsidRDefault="00411DC4" w:rsidP="00411DC4">
      <w:pPr>
        <w:spacing w:after="0" w:line="240" w:lineRule="auto"/>
        <w:jc w:val="center"/>
        <w:rPr>
          <w:rFonts w:ascii="Times New Roman" w:hAnsi="Times New Roman"/>
          <w:b/>
          <w:lang w:eastAsia="pt-BR"/>
        </w:rPr>
      </w:pPr>
      <w:r>
        <w:rPr>
          <w:rFonts w:ascii="Times New Roman" w:hAnsi="Times New Roman"/>
          <w:b/>
          <w:lang w:eastAsia="pt-BR"/>
        </w:rPr>
        <w:t>ANEXO I</w:t>
      </w:r>
    </w:p>
    <w:p w:rsidR="002001CD" w:rsidRDefault="002001CD" w:rsidP="00411DC4">
      <w:pPr>
        <w:spacing w:after="0" w:line="240" w:lineRule="auto"/>
        <w:jc w:val="center"/>
        <w:rPr>
          <w:rFonts w:ascii="Times New Roman" w:hAnsi="Times New Roman"/>
          <w:b/>
          <w:lang w:eastAsia="pt-BR"/>
        </w:rPr>
      </w:pPr>
    </w:p>
    <w:p w:rsidR="002001CD" w:rsidRDefault="002001CD" w:rsidP="00411DC4">
      <w:pPr>
        <w:spacing w:after="0" w:line="240" w:lineRule="auto"/>
        <w:jc w:val="center"/>
        <w:rPr>
          <w:rFonts w:ascii="Times New Roman" w:hAnsi="Times New Roman"/>
          <w:b/>
          <w:lang w:eastAsia="pt-BR"/>
        </w:rPr>
      </w:pPr>
    </w:p>
    <w:p w:rsidR="002001CD" w:rsidRDefault="002001CD" w:rsidP="00411DC4">
      <w:pPr>
        <w:spacing w:after="0" w:line="240" w:lineRule="auto"/>
        <w:jc w:val="center"/>
        <w:rPr>
          <w:rFonts w:ascii="Times New Roman" w:hAnsi="Times New Roman"/>
          <w:b/>
          <w:lang w:eastAsia="pt-BR"/>
        </w:rPr>
      </w:pPr>
    </w:p>
    <w:p w:rsidR="00411DC4" w:rsidRDefault="00411DC4" w:rsidP="00411DC4">
      <w:pPr>
        <w:spacing w:after="0" w:line="240" w:lineRule="auto"/>
        <w:jc w:val="center"/>
        <w:rPr>
          <w:rFonts w:ascii="Times New Roman" w:hAnsi="Times New Roman"/>
          <w:b/>
          <w:lang w:eastAsia="pt-BR"/>
        </w:rPr>
      </w:pPr>
    </w:p>
    <w:p w:rsidR="00411DC4" w:rsidRDefault="00411DC4" w:rsidP="00411DC4">
      <w:pPr>
        <w:spacing w:after="0" w:line="240" w:lineRule="auto"/>
        <w:jc w:val="center"/>
        <w:rPr>
          <w:rFonts w:ascii="Times New Roman" w:hAnsi="Times New Roman"/>
          <w:b/>
          <w:lang w:eastAsia="pt-BR"/>
        </w:rPr>
      </w:pPr>
    </w:p>
    <w:p w:rsidR="00411DC4" w:rsidRDefault="00411DC4" w:rsidP="00411DC4">
      <w:pPr>
        <w:spacing w:after="0" w:line="240" w:lineRule="auto"/>
        <w:jc w:val="center"/>
        <w:rPr>
          <w:rFonts w:ascii="Times New Roman" w:hAnsi="Times New Roman"/>
          <w:b/>
          <w:lang w:eastAsia="pt-BR"/>
        </w:rPr>
      </w:pPr>
    </w:p>
    <w:p w:rsidR="00411DC4" w:rsidRDefault="00411DC4" w:rsidP="00411DC4">
      <w:pPr>
        <w:spacing w:after="0" w:line="240" w:lineRule="auto"/>
        <w:jc w:val="center"/>
        <w:rPr>
          <w:rFonts w:ascii="Times New Roman" w:hAnsi="Times New Roman"/>
          <w:b/>
          <w:lang w:eastAsia="pt-BR"/>
        </w:rPr>
      </w:pPr>
    </w:p>
    <w:p w:rsidR="00411DC4" w:rsidRDefault="00411DC4" w:rsidP="00411DC4">
      <w:pPr>
        <w:spacing w:after="0" w:line="240" w:lineRule="auto"/>
        <w:jc w:val="center"/>
        <w:rPr>
          <w:rFonts w:ascii="Times New Roman" w:hAnsi="Times New Roman"/>
          <w:b/>
          <w:lang w:eastAsia="pt-BR"/>
        </w:rPr>
      </w:pPr>
    </w:p>
    <w:p w:rsidR="00FC0E27" w:rsidRDefault="00FC0E27" w:rsidP="00411DC4">
      <w:pPr>
        <w:spacing w:after="0" w:line="240" w:lineRule="auto"/>
        <w:jc w:val="center"/>
        <w:rPr>
          <w:rFonts w:ascii="Times New Roman" w:hAnsi="Times New Roman"/>
          <w:b/>
          <w:lang w:eastAsia="pt-BR"/>
        </w:rPr>
      </w:pPr>
    </w:p>
    <w:tbl>
      <w:tblPr>
        <w:tblStyle w:val="Tabelacomgrade1"/>
        <w:tblW w:w="13140" w:type="dxa"/>
        <w:tblInd w:w="-252" w:type="dxa"/>
        <w:tblLayout w:type="fixed"/>
        <w:tblLook w:val="01E0" w:firstRow="1" w:lastRow="1" w:firstColumn="1" w:lastColumn="1" w:noHBand="0" w:noVBand="0"/>
      </w:tblPr>
      <w:tblGrid>
        <w:gridCol w:w="5400"/>
        <w:gridCol w:w="1440"/>
        <w:gridCol w:w="1440"/>
        <w:gridCol w:w="1800"/>
        <w:gridCol w:w="1620"/>
        <w:gridCol w:w="1440"/>
      </w:tblGrid>
      <w:tr w:rsidR="00FC0E27" w:rsidRPr="00FC0E27" w:rsidTr="00FC0E27">
        <w:trPr>
          <w:gridAfter w:val="5"/>
          <w:wAfter w:w="7740" w:type="dxa"/>
          <w:trHeight w:val="276"/>
        </w:trPr>
        <w:tc>
          <w:tcPr>
            <w:tcW w:w="5400" w:type="dxa"/>
            <w:vMerge w:val="restart"/>
          </w:tcPr>
          <w:p w:rsidR="00FC0E27" w:rsidRPr="00FC0E27" w:rsidRDefault="00FC0E27" w:rsidP="00FC0E27">
            <w:pPr>
              <w:jc w:val="both"/>
              <w:rPr>
                <w:rFonts w:ascii="Times New Roman" w:hAnsi="Times New Roman"/>
                <w:sz w:val="24"/>
                <w:szCs w:val="24"/>
              </w:rPr>
            </w:pPr>
          </w:p>
          <w:p w:rsidR="00FC0E27" w:rsidRPr="00FC0E27" w:rsidRDefault="00FC0E27" w:rsidP="00FC0E27">
            <w:pPr>
              <w:jc w:val="center"/>
              <w:rPr>
                <w:rFonts w:ascii="Times New Roman" w:hAnsi="Times New Roman"/>
                <w:b/>
                <w:sz w:val="24"/>
                <w:szCs w:val="24"/>
              </w:rPr>
            </w:pPr>
            <w:r w:rsidRPr="00FC0E27">
              <w:rPr>
                <w:rFonts w:ascii="Times New Roman" w:hAnsi="Times New Roman"/>
                <w:b/>
                <w:sz w:val="24"/>
                <w:szCs w:val="24"/>
              </w:rPr>
              <w:t>NOME</w:t>
            </w:r>
          </w:p>
        </w:tc>
      </w:tr>
      <w:tr w:rsidR="00FC0E27" w:rsidRPr="00FC0E27" w:rsidTr="00FC0E27">
        <w:tc>
          <w:tcPr>
            <w:tcW w:w="5400" w:type="dxa"/>
            <w:vMerge/>
          </w:tcPr>
          <w:p w:rsidR="00FC0E27" w:rsidRPr="00FC0E27" w:rsidRDefault="00FC0E27" w:rsidP="00FC0E27">
            <w:pPr>
              <w:jc w:val="both"/>
              <w:rPr>
                <w:rFonts w:ascii="Times New Roman" w:hAnsi="Times New Roman"/>
                <w:sz w:val="24"/>
                <w:szCs w:val="24"/>
              </w:rPr>
            </w:pPr>
          </w:p>
        </w:tc>
        <w:tc>
          <w:tcPr>
            <w:tcW w:w="1440" w:type="dxa"/>
          </w:tcPr>
          <w:p w:rsidR="00FC0E27" w:rsidRPr="00FC0E27" w:rsidRDefault="00FC0E27" w:rsidP="00FC0E27">
            <w:pPr>
              <w:jc w:val="center"/>
              <w:rPr>
                <w:rFonts w:ascii="Times New Roman" w:hAnsi="Times New Roman"/>
                <w:b/>
                <w:sz w:val="24"/>
                <w:szCs w:val="24"/>
              </w:rPr>
            </w:pPr>
            <w:r w:rsidRPr="00FC0E27">
              <w:rPr>
                <w:rFonts w:ascii="Times New Roman" w:hAnsi="Times New Roman"/>
                <w:b/>
                <w:sz w:val="24"/>
                <w:szCs w:val="24"/>
              </w:rPr>
              <w:t>Doutorado</w:t>
            </w:r>
          </w:p>
        </w:tc>
        <w:tc>
          <w:tcPr>
            <w:tcW w:w="1440" w:type="dxa"/>
          </w:tcPr>
          <w:p w:rsidR="00FC0E27" w:rsidRPr="00FC0E27" w:rsidRDefault="00FC0E27" w:rsidP="00FC0E27">
            <w:pPr>
              <w:jc w:val="center"/>
              <w:rPr>
                <w:rFonts w:ascii="Times New Roman" w:hAnsi="Times New Roman"/>
                <w:b/>
                <w:sz w:val="24"/>
                <w:szCs w:val="24"/>
              </w:rPr>
            </w:pPr>
            <w:r w:rsidRPr="00FC0E27">
              <w:rPr>
                <w:rFonts w:ascii="Times New Roman" w:hAnsi="Times New Roman"/>
                <w:b/>
                <w:sz w:val="24"/>
                <w:szCs w:val="24"/>
              </w:rPr>
              <w:t>Mestrado</w:t>
            </w:r>
          </w:p>
        </w:tc>
        <w:tc>
          <w:tcPr>
            <w:tcW w:w="1800" w:type="dxa"/>
          </w:tcPr>
          <w:p w:rsidR="00FC0E27" w:rsidRPr="00FC0E27" w:rsidRDefault="00FC0E27" w:rsidP="00FC0E27">
            <w:pPr>
              <w:jc w:val="center"/>
              <w:rPr>
                <w:rFonts w:ascii="Times New Roman" w:hAnsi="Times New Roman"/>
                <w:b/>
                <w:sz w:val="24"/>
                <w:szCs w:val="24"/>
              </w:rPr>
            </w:pPr>
            <w:r w:rsidRPr="00FC0E27">
              <w:rPr>
                <w:rFonts w:ascii="Times New Roman" w:hAnsi="Times New Roman"/>
                <w:b/>
                <w:sz w:val="24"/>
                <w:szCs w:val="24"/>
              </w:rPr>
              <w:t>Especialização</w:t>
            </w:r>
          </w:p>
        </w:tc>
        <w:tc>
          <w:tcPr>
            <w:tcW w:w="1620" w:type="dxa"/>
          </w:tcPr>
          <w:p w:rsidR="00FC0E27" w:rsidRPr="00FC0E27" w:rsidRDefault="00FC0E27" w:rsidP="00FC0E27">
            <w:pPr>
              <w:jc w:val="center"/>
              <w:rPr>
                <w:rFonts w:ascii="Times New Roman" w:hAnsi="Times New Roman"/>
                <w:b/>
                <w:sz w:val="24"/>
                <w:szCs w:val="24"/>
              </w:rPr>
            </w:pPr>
            <w:r w:rsidRPr="00FC0E27">
              <w:rPr>
                <w:rFonts w:ascii="Times New Roman" w:hAnsi="Times New Roman"/>
                <w:b/>
                <w:sz w:val="24"/>
                <w:szCs w:val="24"/>
              </w:rPr>
              <w:t>Experiência</w:t>
            </w:r>
          </w:p>
        </w:tc>
        <w:tc>
          <w:tcPr>
            <w:tcW w:w="1440" w:type="dxa"/>
          </w:tcPr>
          <w:p w:rsidR="00FC0E27" w:rsidRPr="00FC0E27" w:rsidRDefault="00FC0E27" w:rsidP="00FC0E27">
            <w:pPr>
              <w:jc w:val="center"/>
              <w:rPr>
                <w:rFonts w:ascii="Times New Roman" w:hAnsi="Times New Roman"/>
                <w:b/>
                <w:sz w:val="24"/>
                <w:szCs w:val="24"/>
              </w:rPr>
            </w:pPr>
            <w:r w:rsidRPr="00FC0E27">
              <w:rPr>
                <w:rFonts w:ascii="Times New Roman" w:hAnsi="Times New Roman"/>
                <w:b/>
                <w:sz w:val="24"/>
                <w:szCs w:val="24"/>
              </w:rPr>
              <w:t>Total</w:t>
            </w:r>
          </w:p>
        </w:tc>
      </w:tr>
      <w:tr w:rsidR="00FC0E27" w:rsidRPr="00FC0E27" w:rsidTr="0055099C">
        <w:tc>
          <w:tcPr>
            <w:tcW w:w="5400" w:type="dxa"/>
            <w:vAlign w:val="bottom"/>
          </w:tcPr>
          <w:p w:rsidR="00FC0E27" w:rsidRDefault="00FC0E27">
            <w:pPr>
              <w:rPr>
                <w:color w:val="000000"/>
                <w:sz w:val="22"/>
                <w:szCs w:val="22"/>
              </w:rPr>
            </w:pPr>
            <w:r>
              <w:rPr>
                <w:color w:val="000000"/>
                <w:sz w:val="22"/>
                <w:szCs w:val="22"/>
              </w:rPr>
              <w:t>01-Fábio Alves da Silva</w:t>
            </w:r>
          </w:p>
        </w:tc>
        <w:tc>
          <w:tcPr>
            <w:tcW w:w="1440" w:type="dxa"/>
          </w:tcPr>
          <w:p w:rsidR="00FC0E27" w:rsidRPr="00FC0E27" w:rsidRDefault="00FC0E27" w:rsidP="00FC0E27">
            <w:pPr>
              <w:jc w:val="center"/>
              <w:rPr>
                <w:rFonts w:ascii="Times New Roman" w:hAnsi="Times New Roman"/>
                <w:sz w:val="24"/>
                <w:szCs w:val="24"/>
              </w:rPr>
            </w:pPr>
            <w:r w:rsidRPr="00FC0E27">
              <w:rPr>
                <w:rFonts w:ascii="Times New Roman" w:hAnsi="Times New Roman"/>
                <w:sz w:val="24"/>
                <w:szCs w:val="24"/>
              </w:rPr>
              <w:t>-</w:t>
            </w:r>
          </w:p>
        </w:tc>
        <w:tc>
          <w:tcPr>
            <w:tcW w:w="1440" w:type="dxa"/>
          </w:tcPr>
          <w:p w:rsidR="00FC0E27" w:rsidRPr="00FC0E27" w:rsidRDefault="00FC0E27" w:rsidP="00FC0E27">
            <w:pPr>
              <w:jc w:val="center"/>
              <w:rPr>
                <w:rFonts w:ascii="Times New Roman" w:hAnsi="Times New Roman"/>
                <w:sz w:val="24"/>
                <w:szCs w:val="24"/>
              </w:rPr>
            </w:pPr>
            <w:r w:rsidRPr="00FC0E27">
              <w:rPr>
                <w:rFonts w:ascii="Times New Roman" w:hAnsi="Times New Roman"/>
                <w:sz w:val="24"/>
                <w:szCs w:val="24"/>
              </w:rPr>
              <w:t>-</w:t>
            </w:r>
          </w:p>
        </w:tc>
        <w:tc>
          <w:tcPr>
            <w:tcW w:w="1800" w:type="dxa"/>
            <w:vAlign w:val="bottom"/>
          </w:tcPr>
          <w:p w:rsidR="00FC0E27" w:rsidRDefault="00FC0E27">
            <w:pPr>
              <w:jc w:val="center"/>
              <w:rPr>
                <w:color w:val="000000"/>
                <w:sz w:val="22"/>
                <w:szCs w:val="22"/>
              </w:rPr>
            </w:pPr>
            <w:r>
              <w:rPr>
                <w:color w:val="000000"/>
                <w:sz w:val="22"/>
                <w:szCs w:val="22"/>
              </w:rPr>
              <w:t>2.0</w:t>
            </w:r>
          </w:p>
        </w:tc>
        <w:tc>
          <w:tcPr>
            <w:tcW w:w="1620" w:type="dxa"/>
            <w:vAlign w:val="bottom"/>
          </w:tcPr>
          <w:p w:rsidR="00FC0E27" w:rsidRDefault="00FC0E27">
            <w:pPr>
              <w:jc w:val="center"/>
              <w:rPr>
                <w:color w:val="000000"/>
                <w:sz w:val="22"/>
                <w:szCs w:val="22"/>
              </w:rPr>
            </w:pPr>
            <w:proofErr w:type="gramStart"/>
            <w:r>
              <w:rPr>
                <w:color w:val="000000"/>
                <w:sz w:val="22"/>
                <w:szCs w:val="22"/>
              </w:rPr>
              <w:t>0</w:t>
            </w:r>
            <w:proofErr w:type="gramEnd"/>
          </w:p>
        </w:tc>
        <w:tc>
          <w:tcPr>
            <w:tcW w:w="1440" w:type="dxa"/>
            <w:vAlign w:val="bottom"/>
          </w:tcPr>
          <w:p w:rsidR="00FC0E27" w:rsidRDefault="00FC0E27">
            <w:pPr>
              <w:jc w:val="center"/>
              <w:rPr>
                <w:color w:val="000000"/>
                <w:sz w:val="22"/>
                <w:szCs w:val="22"/>
              </w:rPr>
            </w:pPr>
            <w:r>
              <w:rPr>
                <w:color w:val="000000"/>
                <w:sz w:val="22"/>
                <w:szCs w:val="22"/>
              </w:rPr>
              <w:t>2.0</w:t>
            </w:r>
          </w:p>
        </w:tc>
      </w:tr>
      <w:tr w:rsidR="00FC0E27" w:rsidRPr="00FC0E27" w:rsidTr="0055099C">
        <w:tc>
          <w:tcPr>
            <w:tcW w:w="5400" w:type="dxa"/>
            <w:vAlign w:val="bottom"/>
          </w:tcPr>
          <w:p w:rsidR="00FC0E27" w:rsidRDefault="00FC0E27">
            <w:pPr>
              <w:rPr>
                <w:color w:val="000000"/>
                <w:sz w:val="22"/>
                <w:szCs w:val="22"/>
              </w:rPr>
            </w:pPr>
            <w:r>
              <w:rPr>
                <w:color w:val="000000"/>
                <w:sz w:val="22"/>
                <w:szCs w:val="22"/>
              </w:rPr>
              <w:t xml:space="preserve">02-Lara </w:t>
            </w:r>
            <w:proofErr w:type="spellStart"/>
            <w:r>
              <w:rPr>
                <w:color w:val="000000"/>
                <w:sz w:val="22"/>
                <w:szCs w:val="22"/>
              </w:rPr>
              <w:t>Rhúbia</w:t>
            </w:r>
            <w:proofErr w:type="spellEnd"/>
            <w:r>
              <w:rPr>
                <w:color w:val="000000"/>
                <w:sz w:val="22"/>
                <w:szCs w:val="22"/>
              </w:rPr>
              <w:t xml:space="preserve"> Silva Guimarães</w:t>
            </w:r>
          </w:p>
        </w:tc>
        <w:tc>
          <w:tcPr>
            <w:tcW w:w="1440" w:type="dxa"/>
          </w:tcPr>
          <w:p w:rsidR="00FC0E27" w:rsidRPr="00FC0E27" w:rsidRDefault="00FC0E27" w:rsidP="00FC0E27">
            <w:pPr>
              <w:jc w:val="center"/>
              <w:rPr>
                <w:rFonts w:ascii="Times New Roman" w:hAnsi="Times New Roman"/>
                <w:sz w:val="24"/>
                <w:szCs w:val="24"/>
              </w:rPr>
            </w:pPr>
            <w:r w:rsidRPr="00FC0E27">
              <w:rPr>
                <w:rFonts w:ascii="Times New Roman" w:hAnsi="Times New Roman"/>
                <w:sz w:val="24"/>
                <w:szCs w:val="24"/>
              </w:rPr>
              <w:t>-</w:t>
            </w:r>
          </w:p>
        </w:tc>
        <w:tc>
          <w:tcPr>
            <w:tcW w:w="1440" w:type="dxa"/>
          </w:tcPr>
          <w:p w:rsidR="00FC0E27" w:rsidRPr="00FC0E27" w:rsidRDefault="00FC0E27" w:rsidP="00FC0E27">
            <w:pPr>
              <w:jc w:val="center"/>
              <w:rPr>
                <w:rFonts w:ascii="Times New Roman" w:hAnsi="Times New Roman"/>
                <w:sz w:val="24"/>
                <w:szCs w:val="24"/>
              </w:rPr>
            </w:pPr>
            <w:r w:rsidRPr="00FC0E27">
              <w:rPr>
                <w:rFonts w:ascii="Times New Roman" w:hAnsi="Times New Roman"/>
                <w:sz w:val="24"/>
                <w:szCs w:val="24"/>
              </w:rPr>
              <w:t>-</w:t>
            </w:r>
          </w:p>
        </w:tc>
        <w:tc>
          <w:tcPr>
            <w:tcW w:w="1800" w:type="dxa"/>
            <w:vAlign w:val="bottom"/>
          </w:tcPr>
          <w:p w:rsidR="00FC0E27" w:rsidRDefault="00FC0E27">
            <w:pPr>
              <w:jc w:val="center"/>
              <w:rPr>
                <w:color w:val="000000"/>
                <w:sz w:val="22"/>
                <w:szCs w:val="22"/>
              </w:rPr>
            </w:pPr>
            <w:r>
              <w:rPr>
                <w:color w:val="000000"/>
                <w:sz w:val="22"/>
                <w:szCs w:val="22"/>
              </w:rPr>
              <w:t>2.0</w:t>
            </w:r>
          </w:p>
        </w:tc>
        <w:tc>
          <w:tcPr>
            <w:tcW w:w="1620" w:type="dxa"/>
            <w:vAlign w:val="bottom"/>
          </w:tcPr>
          <w:p w:rsidR="00FC0E27" w:rsidRDefault="00FC0E27">
            <w:pPr>
              <w:jc w:val="center"/>
              <w:rPr>
                <w:color w:val="000000"/>
                <w:sz w:val="22"/>
                <w:szCs w:val="22"/>
              </w:rPr>
            </w:pPr>
            <w:proofErr w:type="gramStart"/>
            <w:r>
              <w:rPr>
                <w:color w:val="000000"/>
                <w:sz w:val="22"/>
                <w:szCs w:val="22"/>
              </w:rPr>
              <w:t>0</w:t>
            </w:r>
            <w:proofErr w:type="gramEnd"/>
          </w:p>
        </w:tc>
        <w:tc>
          <w:tcPr>
            <w:tcW w:w="1440" w:type="dxa"/>
            <w:vAlign w:val="bottom"/>
          </w:tcPr>
          <w:p w:rsidR="00FC0E27" w:rsidRDefault="00FC0E27">
            <w:pPr>
              <w:jc w:val="center"/>
              <w:rPr>
                <w:color w:val="000000"/>
                <w:sz w:val="22"/>
                <w:szCs w:val="22"/>
              </w:rPr>
            </w:pPr>
            <w:r>
              <w:rPr>
                <w:color w:val="000000"/>
                <w:sz w:val="22"/>
                <w:szCs w:val="22"/>
              </w:rPr>
              <w:t>2.0</w:t>
            </w:r>
          </w:p>
        </w:tc>
      </w:tr>
      <w:tr w:rsidR="00FC0E27" w:rsidRPr="00FC0E27" w:rsidTr="0055099C">
        <w:tc>
          <w:tcPr>
            <w:tcW w:w="5400" w:type="dxa"/>
            <w:vAlign w:val="bottom"/>
          </w:tcPr>
          <w:p w:rsidR="00FC0E27" w:rsidRDefault="00FC0E27">
            <w:pPr>
              <w:rPr>
                <w:color w:val="000000"/>
                <w:sz w:val="22"/>
                <w:szCs w:val="22"/>
              </w:rPr>
            </w:pPr>
            <w:r>
              <w:rPr>
                <w:color w:val="000000"/>
                <w:sz w:val="22"/>
                <w:szCs w:val="22"/>
              </w:rPr>
              <w:t>03-Marcos Leandro Pereira</w:t>
            </w:r>
          </w:p>
        </w:tc>
        <w:tc>
          <w:tcPr>
            <w:tcW w:w="1440" w:type="dxa"/>
          </w:tcPr>
          <w:p w:rsidR="00FC0E27" w:rsidRPr="00FC0E27" w:rsidRDefault="00FC0E27" w:rsidP="00FC0E27">
            <w:pPr>
              <w:jc w:val="center"/>
              <w:rPr>
                <w:rFonts w:ascii="Times New Roman" w:hAnsi="Times New Roman"/>
                <w:sz w:val="24"/>
                <w:szCs w:val="24"/>
              </w:rPr>
            </w:pPr>
            <w:r w:rsidRPr="00FC0E27">
              <w:rPr>
                <w:rFonts w:ascii="Times New Roman" w:hAnsi="Times New Roman"/>
                <w:sz w:val="24"/>
                <w:szCs w:val="24"/>
              </w:rPr>
              <w:t>-</w:t>
            </w:r>
          </w:p>
        </w:tc>
        <w:tc>
          <w:tcPr>
            <w:tcW w:w="1440" w:type="dxa"/>
          </w:tcPr>
          <w:p w:rsidR="00FC0E27" w:rsidRPr="00FC0E27" w:rsidRDefault="00FC0E27" w:rsidP="00FC0E27">
            <w:pPr>
              <w:jc w:val="center"/>
              <w:rPr>
                <w:rFonts w:ascii="Times New Roman" w:hAnsi="Times New Roman"/>
                <w:sz w:val="24"/>
                <w:szCs w:val="24"/>
              </w:rPr>
            </w:pPr>
            <w:r w:rsidRPr="00FC0E27">
              <w:rPr>
                <w:rFonts w:ascii="Times New Roman" w:hAnsi="Times New Roman"/>
                <w:sz w:val="24"/>
                <w:szCs w:val="24"/>
              </w:rPr>
              <w:t>-</w:t>
            </w:r>
          </w:p>
        </w:tc>
        <w:tc>
          <w:tcPr>
            <w:tcW w:w="1800" w:type="dxa"/>
            <w:vAlign w:val="bottom"/>
          </w:tcPr>
          <w:p w:rsidR="00FC0E27" w:rsidRDefault="00FC0E27">
            <w:pPr>
              <w:jc w:val="center"/>
              <w:rPr>
                <w:color w:val="000000"/>
                <w:sz w:val="22"/>
                <w:szCs w:val="22"/>
              </w:rPr>
            </w:pPr>
            <w:r>
              <w:rPr>
                <w:color w:val="000000"/>
                <w:sz w:val="22"/>
                <w:szCs w:val="22"/>
              </w:rPr>
              <w:t>2.0</w:t>
            </w:r>
          </w:p>
        </w:tc>
        <w:tc>
          <w:tcPr>
            <w:tcW w:w="1620" w:type="dxa"/>
            <w:vAlign w:val="bottom"/>
          </w:tcPr>
          <w:p w:rsidR="00FC0E27" w:rsidRDefault="00FC0E27">
            <w:pPr>
              <w:jc w:val="center"/>
              <w:rPr>
                <w:color w:val="000000"/>
                <w:sz w:val="22"/>
                <w:szCs w:val="22"/>
              </w:rPr>
            </w:pPr>
            <w:proofErr w:type="gramStart"/>
            <w:r>
              <w:rPr>
                <w:color w:val="000000"/>
                <w:sz w:val="22"/>
                <w:szCs w:val="22"/>
              </w:rPr>
              <w:t>0</w:t>
            </w:r>
            <w:proofErr w:type="gramEnd"/>
          </w:p>
        </w:tc>
        <w:tc>
          <w:tcPr>
            <w:tcW w:w="1440" w:type="dxa"/>
            <w:vAlign w:val="bottom"/>
          </w:tcPr>
          <w:p w:rsidR="00FC0E27" w:rsidRDefault="00FC0E27">
            <w:pPr>
              <w:jc w:val="center"/>
              <w:rPr>
                <w:color w:val="000000"/>
                <w:sz w:val="22"/>
                <w:szCs w:val="22"/>
              </w:rPr>
            </w:pPr>
            <w:r>
              <w:rPr>
                <w:color w:val="000000"/>
                <w:sz w:val="22"/>
                <w:szCs w:val="22"/>
              </w:rPr>
              <w:t>2.0</w:t>
            </w:r>
          </w:p>
        </w:tc>
      </w:tr>
      <w:tr w:rsidR="00FC0E27" w:rsidRPr="00FC0E27" w:rsidTr="0055099C">
        <w:tc>
          <w:tcPr>
            <w:tcW w:w="5400" w:type="dxa"/>
            <w:vAlign w:val="bottom"/>
          </w:tcPr>
          <w:p w:rsidR="00FC0E27" w:rsidRDefault="00FC0E27">
            <w:pPr>
              <w:rPr>
                <w:color w:val="000000"/>
                <w:sz w:val="22"/>
                <w:szCs w:val="22"/>
              </w:rPr>
            </w:pPr>
            <w:r>
              <w:rPr>
                <w:color w:val="000000"/>
                <w:sz w:val="22"/>
                <w:szCs w:val="22"/>
              </w:rPr>
              <w:t>04-Carlos Daniel Caixeta</w:t>
            </w:r>
          </w:p>
        </w:tc>
        <w:tc>
          <w:tcPr>
            <w:tcW w:w="1440" w:type="dxa"/>
          </w:tcPr>
          <w:p w:rsidR="00FC0E27" w:rsidRPr="00FC0E27" w:rsidRDefault="00FC0E27" w:rsidP="00FC0E27">
            <w:pPr>
              <w:jc w:val="center"/>
              <w:rPr>
                <w:rFonts w:ascii="Times New Roman" w:hAnsi="Times New Roman"/>
                <w:sz w:val="24"/>
                <w:szCs w:val="24"/>
              </w:rPr>
            </w:pPr>
            <w:r w:rsidRPr="00FC0E27">
              <w:rPr>
                <w:rFonts w:ascii="Times New Roman" w:hAnsi="Times New Roman"/>
                <w:sz w:val="24"/>
                <w:szCs w:val="24"/>
              </w:rPr>
              <w:t>-</w:t>
            </w:r>
          </w:p>
        </w:tc>
        <w:tc>
          <w:tcPr>
            <w:tcW w:w="1440" w:type="dxa"/>
          </w:tcPr>
          <w:p w:rsidR="00FC0E27" w:rsidRPr="00FC0E27" w:rsidRDefault="00FC0E27" w:rsidP="00FC0E27">
            <w:pPr>
              <w:jc w:val="center"/>
              <w:rPr>
                <w:rFonts w:ascii="Times New Roman" w:hAnsi="Times New Roman"/>
                <w:sz w:val="24"/>
                <w:szCs w:val="24"/>
              </w:rPr>
            </w:pPr>
            <w:r w:rsidRPr="00FC0E27">
              <w:rPr>
                <w:rFonts w:ascii="Times New Roman" w:hAnsi="Times New Roman"/>
                <w:sz w:val="24"/>
                <w:szCs w:val="24"/>
              </w:rPr>
              <w:t>-</w:t>
            </w:r>
          </w:p>
        </w:tc>
        <w:tc>
          <w:tcPr>
            <w:tcW w:w="1800" w:type="dxa"/>
            <w:vAlign w:val="bottom"/>
          </w:tcPr>
          <w:p w:rsidR="00FC0E27" w:rsidRDefault="00FC0E27">
            <w:pPr>
              <w:jc w:val="center"/>
              <w:rPr>
                <w:color w:val="000000"/>
                <w:sz w:val="22"/>
                <w:szCs w:val="22"/>
              </w:rPr>
            </w:pPr>
            <w:proofErr w:type="gramStart"/>
            <w:r>
              <w:rPr>
                <w:color w:val="000000"/>
                <w:sz w:val="22"/>
                <w:szCs w:val="22"/>
              </w:rPr>
              <w:t>0</w:t>
            </w:r>
            <w:proofErr w:type="gramEnd"/>
          </w:p>
        </w:tc>
        <w:tc>
          <w:tcPr>
            <w:tcW w:w="1620" w:type="dxa"/>
            <w:vAlign w:val="bottom"/>
          </w:tcPr>
          <w:p w:rsidR="00FC0E27" w:rsidRDefault="00FC0E27">
            <w:pPr>
              <w:jc w:val="center"/>
              <w:rPr>
                <w:color w:val="000000"/>
                <w:sz w:val="22"/>
                <w:szCs w:val="22"/>
              </w:rPr>
            </w:pPr>
            <w:proofErr w:type="gramStart"/>
            <w:r>
              <w:rPr>
                <w:color w:val="000000"/>
                <w:sz w:val="22"/>
                <w:szCs w:val="22"/>
              </w:rPr>
              <w:t>0</w:t>
            </w:r>
            <w:proofErr w:type="gramEnd"/>
          </w:p>
        </w:tc>
        <w:tc>
          <w:tcPr>
            <w:tcW w:w="1440" w:type="dxa"/>
            <w:vAlign w:val="bottom"/>
          </w:tcPr>
          <w:p w:rsidR="00FC0E27" w:rsidRDefault="00FC0E27">
            <w:pPr>
              <w:jc w:val="center"/>
              <w:rPr>
                <w:color w:val="000000"/>
                <w:sz w:val="22"/>
                <w:szCs w:val="22"/>
              </w:rPr>
            </w:pPr>
            <w:proofErr w:type="gramStart"/>
            <w:r>
              <w:rPr>
                <w:color w:val="000000"/>
                <w:sz w:val="22"/>
                <w:szCs w:val="22"/>
              </w:rPr>
              <w:t>0</w:t>
            </w:r>
            <w:proofErr w:type="gramEnd"/>
          </w:p>
        </w:tc>
      </w:tr>
    </w:tbl>
    <w:p w:rsidR="00FC0E27" w:rsidRPr="00FC0E27" w:rsidRDefault="00FC0E27" w:rsidP="00FC0E27">
      <w:pPr>
        <w:spacing w:after="0" w:line="240" w:lineRule="auto"/>
        <w:ind w:left="142"/>
        <w:jc w:val="center"/>
        <w:rPr>
          <w:rFonts w:ascii="Times New Roman" w:hAnsi="Times New Roman"/>
          <w:b/>
          <w:lang w:eastAsia="pt-BR"/>
        </w:rPr>
      </w:pPr>
    </w:p>
    <w:p w:rsidR="00FC0E27" w:rsidRDefault="00FC0E27" w:rsidP="00411DC4">
      <w:pPr>
        <w:spacing w:after="0" w:line="240" w:lineRule="auto"/>
        <w:jc w:val="center"/>
        <w:rPr>
          <w:rFonts w:ascii="Times New Roman" w:hAnsi="Times New Roman"/>
          <w:b/>
          <w:lang w:eastAsia="pt-BR"/>
        </w:rPr>
      </w:pPr>
    </w:p>
    <w:p w:rsidR="00411DC4" w:rsidRDefault="00411DC4" w:rsidP="00411DC4">
      <w:pPr>
        <w:overflowPunct w:val="0"/>
        <w:autoSpaceDE w:val="0"/>
        <w:autoSpaceDN w:val="0"/>
        <w:adjustRightInd w:val="0"/>
        <w:spacing w:after="0" w:line="240" w:lineRule="auto"/>
        <w:jc w:val="both"/>
        <w:textAlignment w:val="baseline"/>
        <w:rPr>
          <w:rFonts w:ascii="Times New Roman" w:hAnsi="Times New Roman"/>
          <w:b/>
          <w:lang w:eastAsia="pt-BR"/>
        </w:rPr>
      </w:pPr>
      <w:bookmarkStart w:id="0" w:name="_GoBack"/>
      <w:bookmarkEnd w:id="0"/>
    </w:p>
    <w:p w:rsidR="00411DC4" w:rsidRDefault="00411DC4" w:rsidP="00411DC4">
      <w:pPr>
        <w:overflowPunct w:val="0"/>
        <w:autoSpaceDE w:val="0"/>
        <w:autoSpaceDN w:val="0"/>
        <w:adjustRightInd w:val="0"/>
        <w:spacing w:after="0" w:line="240" w:lineRule="auto"/>
        <w:jc w:val="both"/>
        <w:textAlignment w:val="baseline"/>
        <w:rPr>
          <w:rFonts w:ascii="Times New Roman" w:hAnsi="Times New Roman"/>
          <w:b/>
          <w:lang w:eastAsia="pt-BR"/>
        </w:rPr>
      </w:pPr>
    </w:p>
    <w:p w:rsidR="002001CD" w:rsidRPr="002001CD" w:rsidRDefault="002001CD" w:rsidP="002001CD">
      <w:pPr>
        <w:overflowPunct w:val="0"/>
        <w:autoSpaceDE w:val="0"/>
        <w:autoSpaceDN w:val="0"/>
        <w:adjustRightInd w:val="0"/>
        <w:spacing w:after="0" w:line="240" w:lineRule="auto"/>
        <w:jc w:val="both"/>
        <w:textAlignment w:val="baseline"/>
        <w:rPr>
          <w:rFonts w:ascii="Times New Roman" w:hAnsi="Times New Roman"/>
          <w:b/>
          <w:lang w:eastAsia="pt-BR"/>
        </w:rPr>
      </w:pPr>
      <w:r w:rsidRPr="002001CD">
        <w:rPr>
          <w:rFonts w:ascii="Times New Roman" w:hAnsi="Times New Roman"/>
          <w:b/>
          <w:lang w:eastAsia="pt-BR"/>
        </w:rPr>
        <w:t>3. DA ANÁLISE DE CURRÍCULO</w:t>
      </w:r>
    </w:p>
    <w:p w:rsidR="002001CD" w:rsidRPr="002001CD" w:rsidRDefault="002001CD" w:rsidP="002001CD">
      <w:pPr>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b/>
          <w:lang w:eastAsia="pt-BR"/>
        </w:rPr>
        <w:t>3. 1.</w:t>
      </w:r>
      <w:r w:rsidRPr="002001CD">
        <w:rPr>
          <w:rFonts w:ascii="Times New Roman" w:hAnsi="Times New Roman"/>
          <w:lang w:eastAsia="pt-BR"/>
        </w:rPr>
        <w:t xml:space="preserve"> A análise dos currículos será supervisionada pela Secretaria Municipal de Saúde através da Comissão nomeada para este fim.</w:t>
      </w:r>
    </w:p>
    <w:p w:rsidR="002001CD" w:rsidRPr="002001CD" w:rsidRDefault="002001CD" w:rsidP="002001CD">
      <w:pPr>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b/>
          <w:lang w:eastAsia="pt-BR"/>
        </w:rPr>
        <w:t>3. 2.</w:t>
      </w:r>
      <w:r w:rsidRPr="002001CD">
        <w:rPr>
          <w:rFonts w:ascii="Times New Roman" w:hAnsi="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b/>
          <w:lang w:eastAsia="pt-BR"/>
        </w:rPr>
        <w:t>3. 3.</w:t>
      </w:r>
      <w:r w:rsidRPr="002001CD">
        <w:rPr>
          <w:rFonts w:ascii="Times New Roman" w:hAnsi="Times New Roman"/>
          <w:lang w:eastAsia="pt-BR"/>
        </w:rPr>
        <w:t xml:space="preserve"> </w:t>
      </w:r>
      <w:r w:rsidRPr="002001CD">
        <w:rPr>
          <w:rFonts w:ascii="Times New Roman" w:hAnsi="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2001CD">
        <w:rPr>
          <w:rFonts w:ascii="Times New Roman" w:hAnsi="Times New Roman"/>
          <w:lang w:eastAsia="pt-BR"/>
        </w:rPr>
        <w:t xml:space="preserve">. </w:t>
      </w: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b/>
          <w:lang w:eastAsia="pt-BR"/>
        </w:rPr>
        <w:t>3. 4.</w:t>
      </w:r>
      <w:r w:rsidRPr="002001CD">
        <w:rPr>
          <w:rFonts w:ascii="Times New Roman" w:hAnsi="Times New Roman"/>
          <w:lang w:eastAsia="pt-BR"/>
        </w:rPr>
        <w:t xml:space="preserve"> As certidões ou declarações de conclusão de cursos mencionados neste Edital, nos critérios de pontuação, referem-se a cursos comprovadamente concluídos.</w:t>
      </w: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b/>
          <w:lang w:eastAsia="pt-BR"/>
        </w:rPr>
        <w:t>3. 5.</w:t>
      </w:r>
      <w:r w:rsidRPr="002001CD">
        <w:rPr>
          <w:rFonts w:ascii="Times New Roman" w:hAnsi="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b/>
          <w:lang w:eastAsia="pt-BR"/>
        </w:rPr>
        <w:t>3. 6.</w:t>
      </w:r>
      <w:r w:rsidRPr="002001CD">
        <w:rPr>
          <w:rFonts w:ascii="Times New Roman" w:hAnsi="Times New Roman"/>
          <w:lang w:eastAsia="pt-BR"/>
        </w:rPr>
        <w:t xml:space="preserve"> O título referente </w:t>
      </w:r>
      <w:proofErr w:type="gramStart"/>
      <w:r w:rsidRPr="002001CD">
        <w:rPr>
          <w:rFonts w:ascii="Times New Roman" w:hAnsi="Times New Roman"/>
          <w:lang w:eastAsia="pt-BR"/>
        </w:rPr>
        <w:t>a</w:t>
      </w:r>
      <w:proofErr w:type="gramEnd"/>
      <w:r w:rsidRPr="002001CD">
        <w:rPr>
          <w:rFonts w:ascii="Times New Roman" w:hAnsi="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b/>
          <w:lang w:eastAsia="pt-BR"/>
        </w:rPr>
        <w:t>3. 7.</w:t>
      </w:r>
      <w:r w:rsidRPr="002001CD">
        <w:rPr>
          <w:rFonts w:ascii="Times New Roman" w:hAnsi="Times New Roman"/>
          <w:lang w:eastAsia="pt-BR"/>
        </w:rPr>
        <w:t xml:space="preserve"> O</w:t>
      </w:r>
      <w:r w:rsidRPr="002001CD">
        <w:rPr>
          <w:rFonts w:ascii="Times New Roman" w:hAnsi="Times New Roman"/>
          <w:color w:val="FF0000"/>
          <w:lang w:eastAsia="pt-BR"/>
        </w:rPr>
        <w:t xml:space="preserve"> </w:t>
      </w:r>
      <w:r w:rsidRPr="002001CD">
        <w:rPr>
          <w:rFonts w:ascii="Times New Roman" w:hAnsi="Times New Roman"/>
          <w:lang w:eastAsia="pt-BR"/>
        </w:rPr>
        <w:t>mesmo certificado de Especialização não poderá ser utilizado em mais de uma modalidade nos critérios de pontuação.</w:t>
      </w:r>
    </w:p>
    <w:p w:rsid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2001CD">
        <w:rPr>
          <w:rFonts w:ascii="Times New Roman" w:hAnsi="Times New Roman"/>
          <w:b/>
          <w:lang w:eastAsia="pt-BR"/>
        </w:rPr>
        <w:t>3. 8. Serão recusados os Títulos que não atenderem às exigências deste Edital.</w:t>
      </w:r>
    </w:p>
    <w:p w:rsid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b/>
          <w:lang w:eastAsia="pt-BR"/>
        </w:rPr>
        <w:t xml:space="preserve">3. 9. </w:t>
      </w:r>
      <w:r w:rsidRPr="002001CD">
        <w:rPr>
          <w:rFonts w:ascii="Times New Roman" w:hAnsi="Times New Roman"/>
          <w:lang w:eastAsia="pt-BR"/>
        </w:rPr>
        <w:t>A comprovação da experiência profissional refere-se a atividades relacionadas aos cargos/áreas de conhecimento/especialidades constantes deste Edital, devendo ser feita da seguinte forma;</w:t>
      </w: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lang w:eastAsia="pt-BR"/>
        </w:rPr>
        <w:t xml:space="preserve">a) </w:t>
      </w:r>
      <w:r w:rsidRPr="002001CD">
        <w:rPr>
          <w:rFonts w:ascii="Times New Roman" w:hAnsi="Times New Roman"/>
          <w:b/>
          <w:lang w:eastAsia="pt-BR"/>
        </w:rPr>
        <w:t>A experiência profissional prestada na iniciativa privada</w:t>
      </w:r>
      <w:r w:rsidRPr="002001CD">
        <w:rPr>
          <w:rFonts w:ascii="Times New Roman" w:hAnsi="Times New Roman"/>
          <w:lang w:eastAsia="pt-BR"/>
        </w:rPr>
        <w:t xml:space="preserve"> deverá ser comprovada mediante apresentação de original e cópia do registro em Carteira de Trabalho e Previdência Social – CTPS.</w:t>
      </w: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lang w:eastAsia="pt-BR"/>
        </w:rPr>
        <w:t xml:space="preserve">b) </w:t>
      </w:r>
      <w:r w:rsidRPr="002001CD">
        <w:rPr>
          <w:rFonts w:ascii="Times New Roman" w:hAnsi="Times New Roman"/>
          <w:b/>
          <w:lang w:eastAsia="pt-BR"/>
        </w:rPr>
        <w:t>A experiência profissional realizada como autônomo</w:t>
      </w:r>
      <w:r w:rsidRPr="002001CD">
        <w:rPr>
          <w:rFonts w:ascii="Times New Roman" w:hAnsi="Times New Roman"/>
          <w:lang w:eastAsia="pt-BR"/>
        </w:rPr>
        <w:t xml:space="preserve"> deverá ser comprovada mediante apresentação de original e cópia do contrato de prestação de serviços ou de recibo de pagamento de autônomo – RPA.</w:t>
      </w: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001CD">
        <w:rPr>
          <w:rFonts w:ascii="Times New Roman" w:hAnsi="Times New Roman"/>
          <w:b/>
          <w:lang w:eastAsia="pt-BR"/>
        </w:rPr>
        <w:t>3. 10.</w:t>
      </w:r>
      <w:r w:rsidRPr="002001CD">
        <w:rPr>
          <w:rFonts w:ascii="Times New Roman" w:hAnsi="Times New Roman"/>
          <w:lang w:eastAsia="pt-BR"/>
        </w:rPr>
        <w:t xml:space="preserve"> Não será computado para efeito de pontuação como experiência profissional período de estágio, monitoria na área de ensino e/ou bolsista de estudo para os cargos previstos neste Edital.</w:t>
      </w:r>
    </w:p>
    <w:p w:rsidR="002001CD" w:rsidRPr="002001CD" w:rsidRDefault="002001CD" w:rsidP="002001C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2001CD">
        <w:rPr>
          <w:rFonts w:ascii="Times New Roman" w:hAnsi="Times New Roman"/>
          <w:b/>
          <w:lang w:eastAsia="pt-BR"/>
        </w:rPr>
        <w:t>3.10.1. Não será computado para efeito de pontuação certificados de cursos emitidos em período de Graduação.</w:t>
      </w:r>
    </w:p>
    <w:p w:rsidR="002001CD" w:rsidRPr="002001CD" w:rsidRDefault="002001CD" w:rsidP="002001CD">
      <w:pPr>
        <w:overflowPunct w:val="0"/>
        <w:autoSpaceDE w:val="0"/>
        <w:autoSpaceDN w:val="0"/>
        <w:adjustRightInd w:val="0"/>
        <w:spacing w:after="0" w:line="240" w:lineRule="auto"/>
        <w:jc w:val="both"/>
        <w:textAlignment w:val="baseline"/>
        <w:rPr>
          <w:rFonts w:ascii="Times New Roman" w:hAnsi="Times New Roman"/>
          <w:b/>
          <w:u w:val="single"/>
          <w:lang w:eastAsia="pt-BR"/>
        </w:rPr>
      </w:pPr>
      <w:r w:rsidRPr="002001CD">
        <w:rPr>
          <w:rFonts w:ascii="Times New Roman" w:hAnsi="Times New Roman"/>
          <w:b/>
          <w:lang w:eastAsia="pt-BR"/>
        </w:rPr>
        <w:t>3. 11.</w:t>
      </w:r>
      <w:r w:rsidRPr="002001CD">
        <w:rPr>
          <w:rFonts w:ascii="Times New Roman" w:hAnsi="Times New Roman"/>
          <w:lang w:eastAsia="pt-BR"/>
        </w:rPr>
        <w:t xml:space="preserve"> </w:t>
      </w:r>
      <w:r w:rsidRPr="002001CD">
        <w:rPr>
          <w:rFonts w:ascii="Times New Roman" w:hAnsi="Times New Roman"/>
          <w:b/>
          <w:lang w:eastAsia="pt-BR"/>
        </w:rPr>
        <w:t xml:space="preserve">NÃO </w:t>
      </w:r>
      <w:proofErr w:type="gramStart"/>
      <w:r w:rsidRPr="002001CD">
        <w:rPr>
          <w:rFonts w:ascii="Times New Roman" w:hAnsi="Times New Roman"/>
          <w:b/>
          <w:lang w:eastAsia="pt-BR"/>
        </w:rPr>
        <w:t>SERÁ</w:t>
      </w:r>
      <w:proofErr w:type="gramEnd"/>
      <w:r w:rsidRPr="002001CD">
        <w:rPr>
          <w:rFonts w:ascii="Times New Roman" w:hAnsi="Times New Roman"/>
          <w:b/>
          <w:lang w:eastAsia="pt-BR"/>
        </w:rPr>
        <w:t xml:space="preserve"> PONTUADA EXPERIÊNCIAS EM PERÍODOS CONCOMITANTES</w:t>
      </w:r>
      <w:r w:rsidRPr="002001CD">
        <w:rPr>
          <w:rFonts w:ascii="Times New Roman" w:hAnsi="Times New Roman"/>
          <w:b/>
          <w:u w:val="single"/>
          <w:lang w:eastAsia="pt-BR"/>
        </w:rPr>
        <w:t>.</w:t>
      </w:r>
    </w:p>
    <w:p w:rsidR="00411DC4" w:rsidRDefault="00411DC4" w:rsidP="00411DC4">
      <w:pPr>
        <w:autoSpaceDE w:val="0"/>
        <w:autoSpaceDN w:val="0"/>
        <w:adjustRightInd w:val="0"/>
        <w:spacing w:after="0" w:line="240" w:lineRule="auto"/>
        <w:jc w:val="center"/>
        <w:rPr>
          <w:rFonts w:ascii="Times New Roman" w:hAnsi="Times New Roman"/>
          <w:lang w:eastAsia="pt-BR"/>
        </w:rPr>
      </w:pPr>
    </w:p>
    <w:p w:rsidR="00411DC4" w:rsidRDefault="00411DC4" w:rsidP="00411DC4">
      <w:pPr>
        <w:autoSpaceDE w:val="0"/>
        <w:autoSpaceDN w:val="0"/>
        <w:adjustRightInd w:val="0"/>
        <w:spacing w:after="0" w:line="240" w:lineRule="auto"/>
        <w:jc w:val="center"/>
        <w:rPr>
          <w:rFonts w:ascii="Times New Roman" w:hAnsi="Times New Roman"/>
          <w:lang w:eastAsia="pt-BR"/>
        </w:rPr>
      </w:pPr>
    </w:p>
    <w:p w:rsidR="00411DC4" w:rsidRDefault="00411DC4" w:rsidP="00411DC4">
      <w:pPr>
        <w:autoSpaceDE w:val="0"/>
        <w:autoSpaceDN w:val="0"/>
        <w:adjustRightInd w:val="0"/>
        <w:spacing w:after="0" w:line="240" w:lineRule="auto"/>
        <w:jc w:val="center"/>
        <w:rPr>
          <w:rFonts w:ascii="Times New Roman" w:hAnsi="Times New Roman"/>
          <w:lang w:eastAsia="pt-BR"/>
        </w:rPr>
      </w:pPr>
    </w:p>
    <w:p w:rsidR="00411DC4" w:rsidRDefault="00411DC4" w:rsidP="00411DC4">
      <w:pPr>
        <w:autoSpaceDE w:val="0"/>
        <w:autoSpaceDN w:val="0"/>
        <w:adjustRightInd w:val="0"/>
        <w:spacing w:after="0" w:line="240" w:lineRule="auto"/>
        <w:jc w:val="center"/>
        <w:rPr>
          <w:rFonts w:ascii="Times New Roman" w:hAnsi="Times New Roman"/>
          <w:lang w:eastAsia="pt-BR"/>
        </w:rPr>
      </w:pPr>
    </w:p>
    <w:p w:rsidR="00411DC4" w:rsidRPr="008A7B76" w:rsidRDefault="00411DC4" w:rsidP="00411DC4">
      <w:pPr>
        <w:autoSpaceDE w:val="0"/>
        <w:autoSpaceDN w:val="0"/>
        <w:adjustRightInd w:val="0"/>
        <w:spacing w:after="0" w:line="240" w:lineRule="auto"/>
        <w:jc w:val="center"/>
        <w:rPr>
          <w:rFonts w:ascii="Times New Roman" w:hAnsi="Times New Roman"/>
          <w:lang w:eastAsia="pt-BR"/>
        </w:rPr>
      </w:pPr>
      <w:r w:rsidRPr="008A7B76">
        <w:rPr>
          <w:rFonts w:ascii="Times New Roman" w:hAnsi="Times New Roman"/>
          <w:lang w:eastAsia="pt-BR"/>
        </w:rPr>
        <w:t>Dirceu Deocleciano Pacheco</w:t>
      </w:r>
    </w:p>
    <w:p w:rsidR="00411DC4" w:rsidRPr="008A7B76" w:rsidRDefault="00411DC4" w:rsidP="00411DC4">
      <w:pPr>
        <w:autoSpaceDE w:val="0"/>
        <w:autoSpaceDN w:val="0"/>
        <w:adjustRightInd w:val="0"/>
        <w:spacing w:after="0" w:line="240" w:lineRule="auto"/>
        <w:jc w:val="center"/>
        <w:rPr>
          <w:rFonts w:ascii="Times New Roman" w:hAnsi="Times New Roman"/>
          <w:lang w:eastAsia="pt-BR"/>
        </w:rPr>
      </w:pPr>
      <w:r w:rsidRPr="008A7B76">
        <w:rPr>
          <w:rFonts w:ascii="Times New Roman" w:hAnsi="Times New Roman"/>
          <w:lang w:eastAsia="pt-BR"/>
        </w:rPr>
        <w:t>Secretário Municipal de Saúde</w:t>
      </w:r>
    </w:p>
    <w:p w:rsidR="00411DC4" w:rsidRDefault="00411DC4" w:rsidP="00411DC4">
      <w:pPr>
        <w:jc w:val="center"/>
      </w:pPr>
    </w:p>
    <w:p w:rsidR="00960F81" w:rsidRDefault="00960F81"/>
    <w:sectPr w:rsidR="00960F81" w:rsidSect="00411DC4">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92" w:rsidRDefault="00AD0792" w:rsidP="00411DC4">
      <w:pPr>
        <w:spacing w:after="0" w:line="240" w:lineRule="auto"/>
      </w:pPr>
      <w:r>
        <w:separator/>
      </w:r>
    </w:p>
  </w:endnote>
  <w:endnote w:type="continuationSeparator" w:id="0">
    <w:p w:rsidR="00AD0792" w:rsidRDefault="00AD0792" w:rsidP="0041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92" w:rsidRDefault="00AD0792" w:rsidP="00411DC4">
      <w:pPr>
        <w:spacing w:after="0" w:line="240" w:lineRule="auto"/>
      </w:pPr>
      <w:r>
        <w:separator/>
      </w:r>
    </w:p>
  </w:footnote>
  <w:footnote w:type="continuationSeparator" w:id="0">
    <w:p w:rsidR="00AD0792" w:rsidRDefault="00AD0792" w:rsidP="00411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4" w:rsidRDefault="00411DC4">
    <w:pPr>
      <w:pStyle w:val="Cabealho"/>
    </w:pPr>
    <w:r>
      <w:rPr>
        <w:noProof/>
        <w:lang w:eastAsia="pt-BR"/>
      </w:rPr>
      <w:drawing>
        <wp:anchor distT="0" distB="0" distL="114300" distR="114300" simplePos="0" relativeHeight="251659264" behindDoc="1" locked="0" layoutInCell="1" allowOverlap="1" wp14:anchorId="5BA584E1" wp14:editId="77E78F17">
          <wp:simplePos x="0" y="0"/>
          <wp:positionH relativeFrom="column">
            <wp:posOffset>14605</wp:posOffset>
          </wp:positionH>
          <wp:positionV relativeFrom="paragraph">
            <wp:posOffset>45720</wp:posOffset>
          </wp:positionV>
          <wp:extent cx="2990850" cy="781050"/>
          <wp:effectExtent l="0" t="0" r="0" b="0"/>
          <wp:wrapTight wrapText="bothSides">
            <wp:wrapPolygon edited="0">
              <wp:start x="0" y="0"/>
              <wp:lineTo x="0" y="21073"/>
              <wp:lineTo x="21462" y="21073"/>
              <wp:lineTo x="21462"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05"/>
    <w:rsid w:val="002001CD"/>
    <w:rsid w:val="00411DC4"/>
    <w:rsid w:val="006E4BA6"/>
    <w:rsid w:val="00960F81"/>
    <w:rsid w:val="00AD0792"/>
    <w:rsid w:val="00B82505"/>
    <w:rsid w:val="00FC0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C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411D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41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11D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1DC4"/>
    <w:rPr>
      <w:rFonts w:ascii="Calibri" w:eastAsia="Times New Roman" w:hAnsi="Calibri" w:cs="Times New Roman"/>
    </w:rPr>
  </w:style>
  <w:style w:type="paragraph" w:styleId="Rodap">
    <w:name w:val="footer"/>
    <w:basedOn w:val="Normal"/>
    <w:link w:val="RodapChar"/>
    <w:uiPriority w:val="99"/>
    <w:unhideWhenUsed/>
    <w:rsid w:val="00411DC4"/>
    <w:pPr>
      <w:tabs>
        <w:tab w:val="center" w:pos="4252"/>
        <w:tab w:val="right" w:pos="8504"/>
      </w:tabs>
      <w:spacing w:after="0" w:line="240" w:lineRule="auto"/>
    </w:pPr>
  </w:style>
  <w:style w:type="character" w:customStyle="1" w:styleId="RodapChar">
    <w:name w:val="Rodapé Char"/>
    <w:basedOn w:val="Fontepargpadro"/>
    <w:link w:val="Rodap"/>
    <w:uiPriority w:val="99"/>
    <w:rsid w:val="00411DC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C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411D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41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11D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1DC4"/>
    <w:rPr>
      <w:rFonts w:ascii="Calibri" w:eastAsia="Times New Roman" w:hAnsi="Calibri" w:cs="Times New Roman"/>
    </w:rPr>
  </w:style>
  <w:style w:type="paragraph" w:styleId="Rodap">
    <w:name w:val="footer"/>
    <w:basedOn w:val="Normal"/>
    <w:link w:val="RodapChar"/>
    <w:uiPriority w:val="99"/>
    <w:unhideWhenUsed/>
    <w:rsid w:val="00411DC4"/>
    <w:pPr>
      <w:tabs>
        <w:tab w:val="center" w:pos="4252"/>
        <w:tab w:val="right" w:pos="8504"/>
      </w:tabs>
      <w:spacing w:after="0" w:line="240" w:lineRule="auto"/>
    </w:pPr>
  </w:style>
  <w:style w:type="character" w:customStyle="1" w:styleId="RodapChar">
    <w:name w:val="Rodapé Char"/>
    <w:basedOn w:val="Fontepargpadro"/>
    <w:link w:val="Rodap"/>
    <w:uiPriority w:val="99"/>
    <w:rsid w:val="00411DC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2</cp:revision>
  <dcterms:created xsi:type="dcterms:W3CDTF">2015-07-27T13:54:00Z</dcterms:created>
  <dcterms:modified xsi:type="dcterms:W3CDTF">2015-07-27T13:54:00Z</dcterms:modified>
</cp:coreProperties>
</file>